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CA66E" w14:textId="77777777" w:rsidR="00165136" w:rsidRDefault="00165136" w:rsidP="00890C98">
      <w:pPr>
        <w:spacing w:before="100" w:beforeAutospacing="1" w:after="100" w:afterAutospacing="1" w:line="240" w:lineRule="auto"/>
        <w:outlineLvl w:val="2"/>
        <w:rPr>
          <w:rFonts w:ascii="Times New Roman" w:eastAsia="Times New Roman" w:hAnsi="Times New Roman" w:cs="Times New Roman"/>
          <w:b/>
          <w:bCs/>
          <w:sz w:val="27"/>
          <w:szCs w:val="27"/>
        </w:rPr>
      </w:pPr>
    </w:p>
    <w:p w14:paraId="39F9B303" w14:textId="77777777" w:rsidR="00165136" w:rsidRDefault="00943ECC" w:rsidP="00165136">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Guidelines for </w:t>
      </w:r>
      <w:proofErr w:type="spellStart"/>
      <w:r>
        <w:rPr>
          <w:rFonts w:ascii="Times New Roman" w:eastAsia="Times New Roman" w:hAnsi="Times New Roman" w:cs="Times New Roman"/>
          <w:b/>
          <w:bCs/>
          <w:sz w:val="27"/>
          <w:szCs w:val="27"/>
        </w:rPr>
        <w:t>Biocreative</w:t>
      </w:r>
      <w:proofErr w:type="spellEnd"/>
      <w:r>
        <w:rPr>
          <w:rFonts w:ascii="Times New Roman" w:eastAsia="Times New Roman" w:hAnsi="Times New Roman" w:cs="Times New Roman"/>
          <w:b/>
          <w:bCs/>
          <w:sz w:val="27"/>
          <w:szCs w:val="27"/>
        </w:rPr>
        <w:t xml:space="preserve"> IV, 2013</w:t>
      </w:r>
      <w:r w:rsidR="00165136">
        <w:rPr>
          <w:rFonts w:ascii="Times New Roman" w:eastAsia="Times New Roman" w:hAnsi="Times New Roman" w:cs="Times New Roman"/>
          <w:b/>
          <w:bCs/>
          <w:sz w:val="27"/>
          <w:szCs w:val="27"/>
        </w:rPr>
        <w:t xml:space="preserve"> Proceedings</w:t>
      </w:r>
    </w:p>
    <w:p w14:paraId="3B5546E4" w14:textId="77777777" w:rsidR="00165136" w:rsidRPr="00165136" w:rsidRDefault="00165136" w:rsidP="00165136">
      <w:pPr>
        <w:spacing w:after="0" w:line="240" w:lineRule="auto"/>
        <w:jc w:val="center"/>
        <w:outlineLvl w:val="2"/>
        <w:rPr>
          <w:rFonts w:ascii="Times New Roman" w:eastAsia="Times New Roman" w:hAnsi="Times New Roman" w:cs="Times New Roman"/>
          <w:b/>
          <w:bCs/>
          <w:sz w:val="20"/>
          <w:szCs w:val="20"/>
        </w:rPr>
      </w:pPr>
      <w:r w:rsidRPr="00165136">
        <w:rPr>
          <w:rFonts w:ascii="Times New Roman" w:eastAsia="Times New Roman" w:hAnsi="Times New Roman" w:cs="Times New Roman"/>
          <w:b/>
          <w:bCs/>
          <w:sz w:val="20"/>
          <w:szCs w:val="20"/>
        </w:rPr>
        <w:t>Instruction to Authors</w:t>
      </w:r>
    </w:p>
    <w:p w14:paraId="518D79A2" w14:textId="77777777" w:rsidR="00165136" w:rsidRDefault="00165136" w:rsidP="00890C98">
      <w:pPr>
        <w:spacing w:before="100" w:beforeAutospacing="1" w:after="100" w:afterAutospacing="1" w:line="240" w:lineRule="auto"/>
        <w:outlineLvl w:val="2"/>
        <w:rPr>
          <w:rFonts w:ascii="Times New Roman" w:eastAsia="Times New Roman" w:hAnsi="Times New Roman" w:cs="Times New Roman"/>
          <w:b/>
          <w:bCs/>
          <w:sz w:val="27"/>
          <w:szCs w:val="27"/>
        </w:rPr>
      </w:pPr>
    </w:p>
    <w:p w14:paraId="3B802FC4" w14:textId="77777777" w:rsidR="00890C98" w:rsidRPr="00165136" w:rsidRDefault="00890C98" w:rsidP="00D24DB5">
      <w:pPr>
        <w:spacing w:before="100" w:beforeAutospacing="1" w:after="100" w:afterAutospacing="1" w:line="240" w:lineRule="auto"/>
        <w:ind w:left="720" w:hanging="720"/>
        <w:outlineLvl w:val="2"/>
        <w:rPr>
          <w:rFonts w:ascii="Times New Roman" w:eastAsia="Times New Roman" w:hAnsi="Times New Roman" w:cs="Times New Roman"/>
          <w:b/>
          <w:bCs/>
        </w:rPr>
      </w:pPr>
      <w:r w:rsidRPr="00165136">
        <w:rPr>
          <w:rFonts w:ascii="Times New Roman" w:eastAsia="Times New Roman" w:hAnsi="Times New Roman" w:cs="Times New Roman"/>
          <w:b/>
          <w:bCs/>
        </w:rPr>
        <w:t>Modified from http://www.oxfordjournals.org/our_journals/databa/for_authors/general.html</w:t>
      </w:r>
    </w:p>
    <w:p w14:paraId="077721A2" w14:textId="77777777" w:rsidR="00C115CB" w:rsidRDefault="00C115CB" w:rsidP="00890C98">
      <w:pPr>
        <w:spacing w:before="100" w:beforeAutospacing="1" w:after="100" w:afterAutospacing="1" w:line="240" w:lineRule="auto"/>
        <w:outlineLvl w:val="2"/>
        <w:rPr>
          <w:rFonts w:ascii="Times New Roman" w:eastAsia="Times New Roman" w:hAnsi="Times New Roman" w:cs="Times New Roman"/>
          <w:b/>
          <w:bCs/>
          <w:sz w:val="27"/>
          <w:szCs w:val="27"/>
        </w:rPr>
      </w:pPr>
    </w:p>
    <w:p w14:paraId="3FB54BF8" w14:textId="77777777" w:rsidR="00890C98" w:rsidRPr="00890C98" w:rsidRDefault="00890C98" w:rsidP="00890C98">
      <w:pPr>
        <w:spacing w:before="100" w:beforeAutospacing="1" w:after="100" w:afterAutospacing="1" w:line="240" w:lineRule="auto"/>
        <w:outlineLvl w:val="2"/>
        <w:rPr>
          <w:rFonts w:ascii="Times New Roman" w:eastAsia="Times New Roman" w:hAnsi="Times New Roman" w:cs="Times New Roman"/>
          <w:b/>
          <w:bCs/>
          <w:sz w:val="27"/>
          <w:szCs w:val="27"/>
        </w:rPr>
      </w:pPr>
      <w:r w:rsidRPr="00890C98">
        <w:rPr>
          <w:rFonts w:ascii="Times New Roman" w:eastAsia="Times New Roman" w:hAnsi="Times New Roman" w:cs="Times New Roman"/>
          <w:b/>
          <w:bCs/>
          <w:sz w:val="27"/>
          <w:szCs w:val="27"/>
        </w:rPr>
        <w:t>General</w:t>
      </w:r>
    </w:p>
    <w:p w14:paraId="71238DDA" w14:textId="77777777" w:rsidR="00C115CB" w:rsidRDefault="00165136" w:rsidP="00890C98">
      <w:pPr>
        <w:pStyle w:val="Heading3"/>
        <w:rPr>
          <w:sz w:val="24"/>
          <w:szCs w:val="24"/>
        </w:rPr>
      </w:pPr>
      <w:r>
        <w:rPr>
          <w:b w:val="0"/>
          <w:bCs w:val="0"/>
          <w:sz w:val="24"/>
          <w:szCs w:val="24"/>
        </w:rPr>
        <w:t xml:space="preserve">Font should be Times New Roman </w:t>
      </w:r>
      <w:r w:rsidRPr="00165136">
        <w:rPr>
          <w:b w:val="0"/>
          <w:bCs w:val="0"/>
          <w:sz w:val="24"/>
          <w:szCs w:val="24"/>
        </w:rPr>
        <w:t>12-point type.</w:t>
      </w:r>
      <w:r>
        <w:rPr>
          <w:b w:val="0"/>
          <w:bCs w:val="0"/>
          <w:sz w:val="23"/>
          <w:szCs w:val="23"/>
        </w:rPr>
        <w:t xml:space="preserve">  </w:t>
      </w:r>
      <w:r w:rsidR="00890C98" w:rsidRPr="00890C98">
        <w:rPr>
          <w:b w:val="0"/>
          <w:bCs w:val="0"/>
          <w:sz w:val="24"/>
          <w:szCs w:val="24"/>
        </w:rPr>
        <w:t>Papers must be clearly written in English. Pap</w:t>
      </w:r>
      <w:r>
        <w:rPr>
          <w:b w:val="0"/>
          <w:bCs w:val="0"/>
          <w:sz w:val="24"/>
          <w:szCs w:val="24"/>
        </w:rPr>
        <w:t>ers should be submitted in Word.</w:t>
      </w:r>
      <w:r w:rsidR="00890C98" w:rsidRPr="00890C98">
        <w:rPr>
          <w:b w:val="0"/>
          <w:bCs w:val="0"/>
          <w:sz w:val="24"/>
          <w:szCs w:val="24"/>
        </w:rPr>
        <w:br/>
      </w:r>
      <w:r w:rsidR="00890C98" w:rsidRPr="00890C98">
        <w:rPr>
          <w:b w:val="0"/>
          <w:bCs w:val="0"/>
          <w:sz w:val="24"/>
          <w:szCs w:val="24"/>
        </w:rPr>
        <w:br/>
        <w:t>Authors should follow the conventions of the CSE Style Manual (Council of Science Editors, Reston, VA, 2006). Chemical Abstracts and its indices should be followed for chemical names. For biochemical terminology</w:t>
      </w:r>
      <w:r w:rsidR="00D24DB5">
        <w:rPr>
          <w:b w:val="0"/>
          <w:bCs w:val="0"/>
          <w:sz w:val="24"/>
          <w:szCs w:val="24"/>
        </w:rPr>
        <w:t>,</w:t>
      </w:r>
      <w:r w:rsidR="00890C98" w:rsidRPr="00890C98">
        <w:rPr>
          <w:b w:val="0"/>
          <w:bCs w:val="0"/>
          <w:sz w:val="24"/>
          <w:szCs w:val="24"/>
        </w:rPr>
        <w:t xml:space="preserve"> the recommendations issued by the IUPAC-IUB Commission on Biochemical Nomenclature, as given in Biochemical Nomenclature and Related Documents, published in 1992 by the Biochemical Society, UK should be followed. For enzymes, the recommended name assigned by the IUPAC-IUB Committee on Biochemical Nomenclature, 1978, as given in Enzyme Nomenclature, published by Academic Press, New York, 1992 should be used. Wherever possible, the recommended SI units should be used. Genotypes should be </w:t>
      </w:r>
      <w:r w:rsidR="00430D9E" w:rsidRPr="00890C98">
        <w:rPr>
          <w:b w:val="0"/>
          <w:bCs w:val="0"/>
          <w:sz w:val="24"/>
          <w:szCs w:val="24"/>
        </w:rPr>
        <w:t>italicized</w:t>
      </w:r>
      <w:r w:rsidR="00890C98" w:rsidRPr="00890C98">
        <w:rPr>
          <w:b w:val="0"/>
          <w:bCs w:val="0"/>
          <w:sz w:val="24"/>
          <w:szCs w:val="24"/>
        </w:rPr>
        <w:t xml:space="preserve">. Phenotypes should not be </w:t>
      </w:r>
      <w:r w:rsidR="00430D9E" w:rsidRPr="00890C98">
        <w:rPr>
          <w:b w:val="0"/>
          <w:bCs w:val="0"/>
          <w:sz w:val="24"/>
          <w:szCs w:val="24"/>
        </w:rPr>
        <w:t>italicized</w:t>
      </w:r>
      <w:r w:rsidR="00890C98" w:rsidRPr="00890C98">
        <w:rPr>
          <w:b w:val="0"/>
          <w:bCs w:val="0"/>
          <w:sz w:val="24"/>
          <w:szCs w:val="24"/>
        </w:rPr>
        <w:t xml:space="preserve">. </w:t>
      </w:r>
      <w:proofErr w:type="gramStart"/>
      <w:r w:rsidR="00890C98" w:rsidRPr="00890C98">
        <w:rPr>
          <w:b w:val="0"/>
          <w:bCs w:val="0"/>
          <w:sz w:val="24"/>
          <w:szCs w:val="24"/>
        </w:rPr>
        <w:t xml:space="preserve">For bacterial agents nomenclature </w:t>
      </w:r>
      <w:proofErr w:type="spellStart"/>
      <w:r w:rsidR="00890C98" w:rsidRPr="00890C98">
        <w:rPr>
          <w:b w:val="0"/>
          <w:bCs w:val="0"/>
          <w:sz w:val="24"/>
          <w:szCs w:val="24"/>
        </w:rPr>
        <w:t>Demerec</w:t>
      </w:r>
      <w:proofErr w:type="spellEnd"/>
      <w:r w:rsidR="00890C98" w:rsidRPr="00890C98">
        <w:rPr>
          <w:b w:val="0"/>
          <w:bCs w:val="0"/>
          <w:sz w:val="24"/>
          <w:szCs w:val="24"/>
        </w:rPr>
        <w:t>.</w:t>
      </w:r>
      <w:proofErr w:type="gramEnd"/>
      <w:r w:rsidR="00890C98" w:rsidRPr="00890C98">
        <w:rPr>
          <w:b w:val="0"/>
          <w:bCs w:val="0"/>
          <w:sz w:val="24"/>
          <w:szCs w:val="24"/>
        </w:rPr>
        <w:t xml:space="preserve"> </w:t>
      </w:r>
      <w:r w:rsidR="00890C98" w:rsidRPr="00890C98">
        <w:rPr>
          <w:b w:val="0"/>
          <w:bCs w:val="0"/>
          <w:sz w:val="24"/>
          <w:szCs w:val="24"/>
        </w:rPr>
        <w:br/>
      </w:r>
      <w:r w:rsidR="00890C98" w:rsidRPr="00890C98">
        <w:rPr>
          <w:b w:val="0"/>
          <w:bCs w:val="0"/>
          <w:sz w:val="24"/>
          <w:szCs w:val="24"/>
        </w:rPr>
        <w:br/>
      </w:r>
      <w:r w:rsidR="00890C98" w:rsidRPr="00890C98">
        <w:rPr>
          <w:bCs w:val="0"/>
          <w:sz w:val="24"/>
          <w:szCs w:val="24"/>
        </w:rPr>
        <w:t>Section headings</w:t>
      </w:r>
      <w:r w:rsidR="00890C98" w:rsidRPr="00890C98">
        <w:rPr>
          <w:b w:val="0"/>
          <w:bCs w:val="0"/>
          <w:sz w:val="24"/>
          <w:szCs w:val="24"/>
        </w:rPr>
        <w:t xml:space="preserve"> within the manuscript (e.g. Methods, Discussion, Future directions) are at the authors' discretion.</w:t>
      </w:r>
      <w:r w:rsidR="00890C98" w:rsidRPr="00890C98">
        <w:rPr>
          <w:sz w:val="24"/>
          <w:szCs w:val="24"/>
        </w:rPr>
        <w:t xml:space="preserve"> </w:t>
      </w:r>
      <w:r w:rsidR="00890C98" w:rsidRPr="00890C98">
        <w:rPr>
          <w:sz w:val="24"/>
          <w:szCs w:val="24"/>
        </w:rPr>
        <w:br/>
      </w:r>
    </w:p>
    <w:p w14:paraId="293033CD" w14:textId="7C05D988" w:rsidR="00890C98" w:rsidRDefault="00890C98" w:rsidP="00890C98">
      <w:pPr>
        <w:pStyle w:val="Heading3"/>
      </w:pPr>
      <w:r w:rsidRPr="00890C98">
        <w:rPr>
          <w:sz w:val="24"/>
          <w:szCs w:val="24"/>
        </w:rPr>
        <w:br/>
      </w:r>
      <w:r>
        <w:t>References</w:t>
      </w:r>
    </w:p>
    <w:p w14:paraId="393FF69F" w14:textId="77777777" w:rsidR="00890C98" w:rsidRDefault="00890C98" w:rsidP="00890C98">
      <w:pPr>
        <w:pStyle w:val="NormalWeb"/>
      </w:pPr>
      <w:r>
        <w:t>These should be cited in the text by sequential number only, in order of appearance, and listed numerically in the References section. Online references should be cited as in example 5, below. Please see examples 6 and 7 for papers that have been published online in more than one version. The initial version of a paper published in this way can be cited by the Digital Object Identifier (</w:t>
      </w:r>
      <w:proofErr w:type="spellStart"/>
      <w:r>
        <w:t>doi</w:t>
      </w:r>
      <w:proofErr w:type="spellEnd"/>
      <w:r>
        <w:t xml:space="preserve">) but, if available, the reference should also include the citation of the final version. Authors should check all references carefully, and in particular ensure that all references in the Reference section are cited in the text. Note that multiple references or page spans under one number are not allowed. Personal communications, unpublished results, manuscripts submitted or in preparation, statistical packages, computer programs and web sites should be cited in the text only, NOT included in the References section. </w:t>
      </w:r>
    </w:p>
    <w:p w14:paraId="65E4FF9C" w14:textId="01FF1459" w:rsidR="00890C98" w:rsidRDefault="00890C98" w:rsidP="00890C98">
      <w:pPr>
        <w:pStyle w:val="NormalWeb"/>
      </w:pPr>
      <w:r>
        <w:t xml:space="preserve">All references must be cited in the text and should be denoted using numbers in parentheses before the punctuation, e.g. (1, 3–5). At the start of a sentence the authors can be named, e.g. </w:t>
      </w:r>
      <w:proofErr w:type="spellStart"/>
      <w:r>
        <w:lastRenderedPageBreak/>
        <w:t>Shadforth</w:t>
      </w:r>
      <w:proofErr w:type="spellEnd"/>
      <w:r>
        <w:t xml:space="preserve"> et al. (15)... </w:t>
      </w:r>
      <w:r>
        <w:br/>
      </w:r>
      <w:r>
        <w:br/>
        <w:t xml:space="preserve">Style in the References section should be as follows. Journal names should be abbreviated in the style of </w:t>
      </w:r>
      <w:r>
        <w:rPr>
          <w:rStyle w:val="Emphasis"/>
        </w:rPr>
        <w:t>Chemical Abstracts</w:t>
      </w:r>
      <w:r>
        <w:t xml:space="preserve">. </w:t>
      </w:r>
      <w:r>
        <w:br/>
      </w:r>
      <w:r>
        <w:br/>
        <w:t xml:space="preserve">1. </w:t>
      </w:r>
      <w:proofErr w:type="spellStart"/>
      <w:r>
        <w:t>Schmitt</w:t>
      </w:r>
      <w:proofErr w:type="gramStart"/>
      <w:r>
        <w:t>,E</w:t>
      </w:r>
      <w:proofErr w:type="spellEnd"/>
      <w:proofErr w:type="gramEnd"/>
      <w:r>
        <w:t xml:space="preserve">., </w:t>
      </w:r>
      <w:proofErr w:type="spellStart"/>
      <w:r>
        <w:t>Panvert,M</w:t>
      </w:r>
      <w:proofErr w:type="spellEnd"/>
      <w:r>
        <w:t xml:space="preserve">., </w:t>
      </w:r>
      <w:proofErr w:type="spellStart"/>
      <w:r>
        <w:t>Blanquet,S</w:t>
      </w:r>
      <w:proofErr w:type="spellEnd"/>
      <w:r>
        <w:t xml:space="preserve">. and </w:t>
      </w:r>
      <w:proofErr w:type="spellStart"/>
      <w:r>
        <w:t>Mechulam,Y</w:t>
      </w:r>
      <w:proofErr w:type="spellEnd"/>
      <w:r>
        <w:t xml:space="preserve">. (1995) Transition state </w:t>
      </w:r>
      <w:proofErr w:type="spellStart"/>
      <w:r>
        <w:t>stabilisation</w:t>
      </w:r>
      <w:proofErr w:type="spellEnd"/>
      <w:r>
        <w:t xml:space="preserve"> by the 'high' motif of class I </w:t>
      </w:r>
      <w:proofErr w:type="spellStart"/>
      <w:r>
        <w:t>aminoacyl-tRNA</w:t>
      </w:r>
      <w:proofErr w:type="spellEnd"/>
      <w:r>
        <w:t xml:space="preserve"> </w:t>
      </w:r>
      <w:proofErr w:type="spellStart"/>
      <w:r>
        <w:t>synthetases</w:t>
      </w:r>
      <w:proofErr w:type="spellEnd"/>
      <w:r>
        <w:t xml:space="preserve">: the case of </w:t>
      </w:r>
      <w:r>
        <w:rPr>
          <w:rStyle w:val="Emphasis"/>
        </w:rPr>
        <w:t>Escherichia coli</w:t>
      </w:r>
      <w:r>
        <w:t xml:space="preserve"> </w:t>
      </w:r>
      <w:proofErr w:type="spellStart"/>
      <w:r>
        <w:t>methionyl-tRNA</w:t>
      </w:r>
      <w:proofErr w:type="spellEnd"/>
      <w:r>
        <w:t xml:space="preserve"> </w:t>
      </w:r>
      <w:proofErr w:type="spellStart"/>
      <w:r>
        <w:t>synthetase</w:t>
      </w:r>
      <w:proofErr w:type="spellEnd"/>
      <w:r>
        <w:t xml:space="preserve">. </w:t>
      </w:r>
      <w:r>
        <w:rPr>
          <w:rStyle w:val="Emphasis"/>
        </w:rPr>
        <w:t>Nucleic Acids Res</w:t>
      </w:r>
      <w:r>
        <w:t xml:space="preserve">., </w:t>
      </w:r>
      <w:r>
        <w:rPr>
          <w:rStyle w:val="Strong"/>
        </w:rPr>
        <w:t>23</w:t>
      </w:r>
      <w:r>
        <w:t xml:space="preserve">, 4793-4798. </w:t>
      </w:r>
      <w:r>
        <w:br/>
      </w:r>
      <w:r>
        <w:br/>
        <w:t xml:space="preserve">2. </w:t>
      </w:r>
      <w:proofErr w:type="spellStart"/>
      <w:r>
        <w:t>Huynh</w:t>
      </w:r>
      <w:proofErr w:type="gramStart"/>
      <w:r>
        <w:t>,T.V</w:t>
      </w:r>
      <w:proofErr w:type="spellEnd"/>
      <w:proofErr w:type="gramEnd"/>
      <w:r>
        <w:t xml:space="preserve">., </w:t>
      </w:r>
      <w:proofErr w:type="spellStart"/>
      <w:r>
        <w:t>Young,R.A</w:t>
      </w:r>
      <w:proofErr w:type="spellEnd"/>
      <w:r>
        <w:t xml:space="preserve">. and </w:t>
      </w:r>
      <w:proofErr w:type="spellStart"/>
      <w:r>
        <w:t>Davies,R.W</w:t>
      </w:r>
      <w:proofErr w:type="spellEnd"/>
      <w:r>
        <w:t xml:space="preserve">. (1988) Constructing and screening </w:t>
      </w:r>
      <w:proofErr w:type="spellStart"/>
      <w:r>
        <w:t>cDNA</w:t>
      </w:r>
      <w:proofErr w:type="spellEnd"/>
      <w:r>
        <w:t xml:space="preserve"> libraries in lambdagt10 and lambdagt11. In </w:t>
      </w:r>
      <w:proofErr w:type="spellStart"/>
      <w:r>
        <w:t>Glover</w:t>
      </w:r>
      <w:proofErr w:type="gramStart"/>
      <w:r>
        <w:t>,D.M</w:t>
      </w:r>
      <w:proofErr w:type="spellEnd"/>
      <w:proofErr w:type="gramEnd"/>
      <w:r>
        <w:t xml:space="preserve">. (ed.), </w:t>
      </w:r>
      <w:r>
        <w:rPr>
          <w:rStyle w:val="Emphasis"/>
        </w:rPr>
        <w:t>DNA Cloning - A Practical Approach</w:t>
      </w:r>
      <w:r>
        <w:t xml:space="preserve">. IRL Press, Oxford, Vol. I, pp. 49-78. </w:t>
      </w:r>
      <w:r>
        <w:br/>
      </w:r>
      <w:r>
        <w:br/>
        <w:t xml:space="preserve">3. </w:t>
      </w:r>
      <w:proofErr w:type="spellStart"/>
      <w:r>
        <w:t>Maniatis</w:t>
      </w:r>
      <w:proofErr w:type="gramStart"/>
      <w:r>
        <w:t>,T</w:t>
      </w:r>
      <w:proofErr w:type="spellEnd"/>
      <w:proofErr w:type="gramEnd"/>
      <w:r>
        <w:t xml:space="preserve">., </w:t>
      </w:r>
      <w:proofErr w:type="spellStart"/>
      <w:r>
        <w:t>Fritsch,E.F</w:t>
      </w:r>
      <w:proofErr w:type="spellEnd"/>
      <w:r>
        <w:t xml:space="preserve">. and </w:t>
      </w:r>
      <w:proofErr w:type="spellStart"/>
      <w:r>
        <w:t>Sambrook,J</w:t>
      </w:r>
      <w:proofErr w:type="spellEnd"/>
      <w:r>
        <w:t xml:space="preserve">. (1982) Molecular Cloning: A Laboratory Manual. </w:t>
      </w:r>
      <w:proofErr w:type="gramStart"/>
      <w:r>
        <w:t>Cold Spring Harbor Laboratory Press, Cold Spring Harbor, NY.</w:t>
      </w:r>
      <w:proofErr w:type="gramEnd"/>
      <w:r>
        <w:t xml:space="preserve"> </w:t>
      </w:r>
      <w:r>
        <w:br/>
      </w:r>
      <w:r>
        <w:br/>
        <w:t xml:space="preserve">4. </w:t>
      </w:r>
      <w:proofErr w:type="spellStart"/>
      <w:r>
        <w:t>Burnett</w:t>
      </w:r>
      <w:proofErr w:type="gramStart"/>
      <w:r>
        <w:t>,R.C</w:t>
      </w:r>
      <w:proofErr w:type="spellEnd"/>
      <w:proofErr w:type="gramEnd"/>
      <w:r>
        <w:t xml:space="preserve">. (1993) EMBL accession no. X52486. </w:t>
      </w:r>
      <w:r>
        <w:br/>
      </w:r>
      <w:r>
        <w:br/>
        <w:t xml:space="preserve">5. </w:t>
      </w:r>
      <w:proofErr w:type="spellStart"/>
      <w:r>
        <w:t>Capaldi</w:t>
      </w:r>
      <w:proofErr w:type="gramStart"/>
      <w:r>
        <w:t>,S</w:t>
      </w:r>
      <w:proofErr w:type="spellEnd"/>
      <w:proofErr w:type="gramEnd"/>
      <w:r>
        <w:t xml:space="preserve">., </w:t>
      </w:r>
      <w:proofErr w:type="spellStart"/>
      <w:r>
        <w:t>Getts,R.C</w:t>
      </w:r>
      <w:proofErr w:type="spellEnd"/>
      <w:r>
        <w:t xml:space="preserve">. and </w:t>
      </w:r>
      <w:proofErr w:type="spellStart"/>
      <w:r>
        <w:t>Jayasena,S.D</w:t>
      </w:r>
      <w:proofErr w:type="spellEnd"/>
      <w:r>
        <w:t xml:space="preserve">. (2000) Signal amplification through nucleotide extension and excision on a dendritic DNA platform. </w:t>
      </w:r>
      <w:r>
        <w:rPr>
          <w:rStyle w:val="Emphasis"/>
        </w:rPr>
        <w:t>Nucleic Acids Res.</w:t>
      </w:r>
      <w:r>
        <w:t xml:space="preserve">, </w:t>
      </w:r>
      <w:r>
        <w:rPr>
          <w:rStyle w:val="Strong"/>
        </w:rPr>
        <w:t>28</w:t>
      </w:r>
      <w:r>
        <w:t xml:space="preserve">, e21. </w:t>
      </w:r>
    </w:p>
    <w:p w14:paraId="1D2EF950" w14:textId="77777777" w:rsidR="00890C98" w:rsidRDefault="00890C98" w:rsidP="00890C98">
      <w:pPr>
        <w:pStyle w:val="NormalWeb"/>
      </w:pPr>
      <w:r>
        <w:t xml:space="preserve">6. </w:t>
      </w:r>
      <w:proofErr w:type="spellStart"/>
      <w:r>
        <w:t>Qiao</w:t>
      </w:r>
      <w:proofErr w:type="gramStart"/>
      <w:r>
        <w:t>,D</w:t>
      </w:r>
      <w:proofErr w:type="spellEnd"/>
      <w:proofErr w:type="gramEnd"/>
      <w:r>
        <w:t xml:space="preserve">., </w:t>
      </w:r>
      <w:proofErr w:type="spellStart"/>
      <w:r>
        <w:t>Chen,W</w:t>
      </w:r>
      <w:proofErr w:type="spellEnd"/>
      <w:r>
        <w:t xml:space="preserve">., </w:t>
      </w:r>
      <w:proofErr w:type="spellStart"/>
      <w:r>
        <w:t>Stratagoules,E</w:t>
      </w:r>
      <w:proofErr w:type="spellEnd"/>
      <w:r>
        <w:t xml:space="preserve">. and </w:t>
      </w:r>
      <w:proofErr w:type="spellStart"/>
      <w:r>
        <w:t>Martinez,J</w:t>
      </w:r>
      <w:proofErr w:type="spellEnd"/>
      <w:r>
        <w:t>. (March 10, 2000) Bile acid-induced activation of activator protein-1 requires both extracellular signal-regulated kinase and protein kinase C signaling.</w:t>
      </w:r>
      <w:r>
        <w:rPr>
          <w:rStyle w:val="Emphasis"/>
        </w:rPr>
        <w:t xml:space="preserve"> J. Biol. Chem</w:t>
      </w:r>
      <w:r>
        <w:t xml:space="preserve">., 10.1074/jbc.M908890199 </w:t>
      </w:r>
      <w:r>
        <w:br/>
      </w:r>
      <w:r>
        <w:br/>
        <w:t xml:space="preserve">7. </w:t>
      </w:r>
      <w:proofErr w:type="spellStart"/>
      <w:r>
        <w:t>Qiao</w:t>
      </w:r>
      <w:proofErr w:type="gramStart"/>
      <w:r>
        <w:t>,D</w:t>
      </w:r>
      <w:proofErr w:type="spellEnd"/>
      <w:proofErr w:type="gramEnd"/>
      <w:r>
        <w:t xml:space="preserve">., </w:t>
      </w:r>
      <w:proofErr w:type="spellStart"/>
      <w:r>
        <w:t>Chen,W</w:t>
      </w:r>
      <w:proofErr w:type="spellEnd"/>
      <w:r>
        <w:t xml:space="preserve">., </w:t>
      </w:r>
      <w:proofErr w:type="spellStart"/>
      <w:r>
        <w:t>Stratagoules,E</w:t>
      </w:r>
      <w:proofErr w:type="spellEnd"/>
      <w:r>
        <w:t xml:space="preserve">. and </w:t>
      </w:r>
      <w:proofErr w:type="spellStart"/>
      <w:r>
        <w:t>Martinez,J</w:t>
      </w:r>
      <w:proofErr w:type="spellEnd"/>
      <w:r>
        <w:t xml:space="preserve">. (2000) Bile acid-induced activation of activator protein-1 requires both extracellular signal-regulated kinase and protein kinase C signaling. </w:t>
      </w:r>
      <w:r>
        <w:rPr>
          <w:rStyle w:val="Emphasis"/>
        </w:rPr>
        <w:t>J. Biol. Chem.</w:t>
      </w:r>
      <w:r>
        <w:t xml:space="preserve">, </w:t>
      </w:r>
      <w:r>
        <w:rPr>
          <w:rStyle w:val="Strong"/>
        </w:rPr>
        <w:t>275</w:t>
      </w:r>
      <w:r>
        <w:t>, 15090-15098. First published on May 19, 2000, 10.1074/</w:t>
      </w:r>
      <w:proofErr w:type="gramStart"/>
      <w:r>
        <w:t>jbc.M908890199</w:t>
      </w:r>
      <w:proofErr w:type="gramEnd"/>
      <w:r>
        <w:t xml:space="preserve"> </w:t>
      </w:r>
      <w:r>
        <w:br/>
      </w:r>
      <w:r>
        <w:br/>
        <w:t xml:space="preserve">8. </w:t>
      </w:r>
      <w:proofErr w:type="spellStart"/>
      <w:r>
        <w:t>Bernhagen</w:t>
      </w:r>
      <w:proofErr w:type="gramStart"/>
      <w:r>
        <w:t>,J</w:t>
      </w:r>
      <w:proofErr w:type="spellEnd"/>
      <w:proofErr w:type="gramEnd"/>
      <w:r>
        <w:t xml:space="preserve">., </w:t>
      </w:r>
      <w:proofErr w:type="spellStart"/>
      <w:r>
        <w:t>Elkine,B</w:t>
      </w:r>
      <w:proofErr w:type="spellEnd"/>
      <w:r>
        <w:t xml:space="preserve">., </w:t>
      </w:r>
      <w:proofErr w:type="spellStart"/>
      <w:r>
        <w:t>Geiger,G</w:t>
      </w:r>
      <w:proofErr w:type="spellEnd"/>
      <w:r>
        <w:t xml:space="preserve">., </w:t>
      </w:r>
      <w:proofErr w:type="spellStart"/>
      <w:r>
        <w:t>Tovar,G</w:t>
      </w:r>
      <w:proofErr w:type="spellEnd"/>
      <w:r>
        <w:t xml:space="preserve">. and </w:t>
      </w:r>
      <w:proofErr w:type="spellStart"/>
      <w:r>
        <w:t>Vitzthum,F</w:t>
      </w:r>
      <w:proofErr w:type="spellEnd"/>
      <w:r>
        <w:t xml:space="preserve">. (1999) Patent DE-198198889.2-44; PCT/WO/EP/99/03047. </w:t>
      </w:r>
    </w:p>
    <w:p w14:paraId="2E1F2C49" w14:textId="5B3EA6B0" w:rsidR="00890C98" w:rsidRDefault="00890C98" w:rsidP="00890C98">
      <w:pPr>
        <w:pStyle w:val="NormalWeb"/>
      </w:pPr>
      <w:r>
        <w:t xml:space="preserve">If there are four or more authors, then use the first three followed by et al. </w:t>
      </w:r>
      <w:r>
        <w:br/>
        <w:t xml:space="preserve">Papers in preparation or submitted for publication should not be in the reference list. </w:t>
      </w:r>
      <w:r>
        <w:br/>
      </w:r>
      <w:r>
        <w:br/>
        <w:t>Authors are asked to ensure the reference</w:t>
      </w:r>
      <w:r w:rsidR="00D24DB5">
        <w:t xml:space="preserve">s to named people and/or </w:t>
      </w:r>
      <w:r w:rsidR="00430D9E">
        <w:t>organizations</w:t>
      </w:r>
      <w:r>
        <w:t xml:space="preserve"> are accurate and without </w:t>
      </w:r>
      <w:r w:rsidR="00430D9E">
        <w:t>libelous</w:t>
      </w:r>
      <w:r>
        <w:t xml:space="preserve"> implications. </w:t>
      </w:r>
    </w:p>
    <w:p w14:paraId="0051F4A2" w14:textId="77777777" w:rsidR="00C115CB" w:rsidRDefault="00C115CB" w:rsidP="00890C98">
      <w:pPr>
        <w:pStyle w:val="Heading3"/>
      </w:pPr>
    </w:p>
    <w:p w14:paraId="7CF2A529" w14:textId="77777777" w:rsidR="00890C98" w:rsidRDefault="00890C98" w:rsidP="00890C98">
      <w:pPr>
        <w:pStyle w:val="Heading3"/>
      </w:pPr>
      <w:r>
        <w:t>Funding</w:t>
      </w:r>
    </w:p>
    <w:p w14:paraId="03B72264" w14:textId="77777777" w:rsidR="00890C98" w:rsidRDefault="00890C98" w:rsidP="00890C98">
      <w:pPr>
        <w:pStyle w:val="NormalWeb"/>
      </w:pPr>
      <w:r>
        <w:t xml:space="preserve">Details of all funding sources for the work in question should be given in a separate section entitled 'Funding'. This should appear before the 'Acknowledgements' section. </w:t>
      </w:r>
      <w:r>
        <w:br/>
      </w:r>
      <w:r>
        <w:br/>
      </w:r>
      <w:r>
        <w:lastRenderedPageBreak/>
        <w:t xml:space="preserve">The following rules should be followed: </w:t>
      </w:r>
      <w:r>
        <w:br/>
      </w:r>
      <w:r>
        <w:br/>
        <w:t xml:space="preserve">The sentence should begin: ‘This work was supported by …’ </w:t>
      </w:r>
      <w:r>
        <w:br/>
      </w:r>
      <w:r>
        <w:br/>
        <w:t xml:space="preserve">The full official funding agency name should be given, i.e. ‘the National Cancer Institute at the National Institutes of Health’ or simply 'National Institutes of Health' not ‘NCI' (one of the 27 </w:t>
      </w:r>
      <w:proofErr w:type="spellStart"/>
      <w:r>
        <w:t>subinstitutions</w:t>
      </w:r>
      <w:proofErr w:type="spellEnd"/>
      <w:r>
        <w:t xml:space="preserve">) or 'NCI at NIH’ </w:t>
      </w:r>
      <w:hyperlink r:id="rId6" w:history="1">
        <w:r>
          <w:rPr>
            <w:rStyle w:val="Hyperlink"/>
          </w:rPr>
          <w:t>(full RIN-approved list of UK funding agencies)</w:t>
        </w:r>
      </w:hyperlink>
      <w:r>
        <w:t xml:space="preserve"> </w:t>
      </w:r>
      <w:r>
        <w:br/>
      </w:r>
      <w:r>
        <w:br/>
        <w:t xml:space="preserve">Grant numbers should be complete and accurate and provided in brackets as follows: ‘[grant number ABX CDXXXXXX]’ </w:t>
      </w:r>
      <w:r>
        <w:br/>
      </w:r>
      <w:r>
        <w:br/>
        <w:t xml:space="preserve">Multiple grant numbers should be separated by a comma as follows: ‘[grant numbers ABX CDXXXXXX, EFX GHXXXXXX]’ </w:t>
      </w:r>
      <w:r>
        <w:br/>
      </w:r>
      <w:r>
        <w:br/>
        <w:t xml:space="preserve">Agencies should be separated by a semi-colon (plus ‘and’ before the last funding agency) </w:t>
      </w:r>
      <w:r>
        <w:br/>
      </w:r>
      <w:r>
        <w:br/>
        <w:t xml:space="preserve">Where individuals need to be specified for certain sources of funding the following text should be added after the relevant agency or grant number 'to [author initials]' </w:t>
      </w:r>
      <w:r>
        <w:br/>
      </w:r>
      <w:r>
        <w:br/>
        <w:t xml:space="preserve">An example is given here: ‘This work was supported by the National Institutes of Health [P50 CA098252 and CA118790 to R.B.S.R.] </w:t>
      </w:r>
      <w:r>
        <w:br/>
        <w:t xml:space="preserve">and the Alcohol &amp; Education Research Council [HFY GR667789]. </w:t>
      </w:r>
    </w:p>
    <w:p w14:paraId="6322A7D7" w14:textId="77777777" w:rsidR="00C115CB" w:rsidRDefault="00C115CB" w:rsidP="00890C98">
      <w:pPr>
        <w:pStyle w:val="Heading3"/>
      </w:pPr>
    </w:p>
    <w:p w14:paraId="23AEF99F" w14:textId="77777777" w:rsidR="00890C98" w:rsidRDefault="00890C98" w:rsidP="00890C98">
      <w:pPr>
        <w:pStyle w:val="Heading3"/>
      </w:pPr>
      <w:r>
        <w:t>Figures</w:t>
      </w:r>
    </w:p>
    <w:p w14:paraId="3CA7B0D4" w14:textId="53FC1422" w:rsidR="00890C98" w:rsidRDefault="006379DA" w:rsidP="00890C98">
      <w:pPr>
        <w:pStyle w:val="NormalWeb"/>
      </w:pPr>
      <w:r>
        <w:t xml:space="preserve">Figures </w:t>
      </w:r>
      <w:r w:rsidR="003C795D">
        <w:t xml:space="preserve">should be </w:t>
      </w:r>
      <w:r>
        <w:t xml:space="preserve">placed </w:t>
      </w:r>
      <w:r w:rsidR="00277761">
        <w:t xml:space="preserve">in their final size </w:t>
      </w:r>
      <w:r>
        <w:t xml:space="preserve">close to the text where </w:t>
      </w:r>
      <w:r w:rsidR="00277761">
        <w:t>they are being</w:t>
      </w:r>
      <w:r>
        <w:t xml:space="preserve"> referred</w:t>
      </w:r>
      <w:r w:rsidR="003C795D">
        <w:t>.</w:t>
      </w:r>
      <w:r>
        <w:t xml:space="preserve"> </w:t>
      </w:r>
      <w:r w:rsidR="00890C98">
        <w:t xml:space="preserve"> </w:t>
      </w:r>
      <w:r w:rsidR="00277761">
        <w:t>Images and screen dumps</w:t>
      </w:r>
      <w:r w:rsidR="00890C98">
        <w:t xml:space="preserve"> must be at </w:t>
      </w:r>
      <w:r w:rsidR="00430D9E">
        <w:t>a minimum resolution of 300 dpi</w:t>
      </w:r>
      <w:r w:rsidR="00277761">
        <w:t>.</w:t>
      </w:r>
      <w:r w:rsidR="00890C98">
        <w:t xml:space="preserve"> </w:t>
      </w:r>
      <w:r w:rsidR="00277761">
        <w:t xml:space="preserve">Authors should be aware that graphics supplied with low resolution are not guaranteed to reproduce well and should be avoided whenever </w:t>
      </w:r>
      <w:proofErr w:type="spellStart"/>
      <w:proofErr w:type="gramStart"/>
      <w:r w:rsidR="00277761">
        <w:t>possible.</w:t>
      </w:r>
      <w:r w:rsidR="00890C98">
        <w:t>Please</w:t>
      </w:r>
      <w:proofErr w:type="spellEnd"/>
      <w:proofErr w:type="gramEnd"/>
      <w:r w:rsidR="00890C98">
        <w:t xml:space="preserve"> ensure that the </w:t>
      </w:r>
      <w:r>
        <w:t>figures print</w:t>
      </w:r>
      <w:r w:rsidR="00890C98">
        <w:t xml:space="preserve"> at a legible size (with lettering of at least 2 mm).Please ensure that the figure is clearly </w:t>
      </w:r>
      <w:r w:rsidR="00430D9E">
        <w:t>labeled</w:t>
      </w:r>
      <w:r w:rsidR="00890C98">
        <w:t xml:space="preserve"> with its figure number</w:t>
      </w:r>
      <w:r w:rsidR="00277761">
        <w:t xml:space="preserve"> and legend</w:t>
      </w:r>
      <w:r w:rsidR="00890C98">
        <w:t xml:space="preserve">. </w:t>
      </w:r>
    </w:p>
    <w:p w14:paraId="438DDDC4" w14:textId="77777777" w:rsidR="00C115CB" w:rsidRDefault="00C115CB" w:rsidP="00890C98">
      <w:pPr>
        <w:pStyle w:val="Heading3"/>
      </w:pPr>
    </w:p>
    <w:p w14:paraId="08377A2E" w14:textId="77777777" w:rsidR="00890C98" w:rsidRDefault="00890C98" w:rsidP="00890C98">
      <w:pPr>
        <w:pStyle w:val="Heading3"/>
      </w:pPr>
      <w:r>
        <w:t>Tables</w:t>
      </w:r>
    </w:p>
    <w:p w14:paraId="5356DCEC" w14:textId="56997991" w:rsidR="00890C98" w:rsidRDefault="00890C98" w:rsidP="00890C98">
      <w:pPr>
        <w:pStyle w:val="NormalWeb"/>
      </w:pPr>
      <w:r>
        <w:t xml:space="preserve">Tables </w:t>
      </w:r>
      <w:r w:rsidR="00277761">
        <w:t>should be placed in their final size close to the text where they are being referred</w:t>
      </w:r>
      <w:r w:rsidR="00277761" w:rsidDel="00277761">
        <w:t xml:space="preserve"> </w:t>
      </w:r>
      <w:r w:rsidR="00277761">
        <w:t xml:space="preserve">and </w:t>
      </w:r>
      <w:r>
        <w:t xml:space="preserve">numbered consecutively. Each column should have a short heading and, where appropriate, the units should be stated. Table legends should describe the content and should be understood independently from the text. Data columns should be right-hand aligned, or aligned by decimal place, where appropriate; data should be sorted where possible. Footnotes should be included on the same pages as the tables themselves and should be used to explain any abbreviations used in the table and denote them by letter. Footnotes should also be used to quote sources. </w:t>
      </w:r>
    </w:p>
    <w:p w14:paraId="5B18A5EA" w14:textId="6FD81A14" w:rsidR="0067731E" w:rsidRPr="00A07923" w:rsidRDefault="0067731E" w:rsidP="0067731E">
      <w:pPr>
        <w:autoSpaceDE w:val="0"/>
        <w:autoSpaceDN w:val="0"/>
        <w:adjustRightInd w:val="0"/>
        <w:spacing w:after="0" w:line="240" w:lineRule="auto"/>
        <w:rPr>
          <w:rFonts w:ascii="Times New Roman" w:hAnsi="Times New Roman" w:cs="Times New Roman"/>
          <w:sz w:val="36"/>
          <w:szCs w:val="36"/>
        </w:rPr>
      </w:pPr>
      <w:bookmarkStart w:id="0" w:name="_GoBack"/>
      <w:bookmarkEnd w:id="0"/>
      <w:r w:rsidRPr="00A07923">
        <w:rPr>
          <w:rFonts w:ascii="Times New Roman" w:hAnsi="Times New Roman" w:cs="Times New Roman"/>
          <w:sz w:val="36"/>
          <w:szCs w:val="36"/>
        </w:rPr>
        <w:lastRenderedPageBreak/>
        <w:t>A sample article title</w:t>
      </w:r>
    </w:p>
    <w:p w14:paraId="5BA1DAA6" w14:textId="77777777" w:rsidR="0067731E" w:rsidRPr="00A07923" w:rsidRDefault="0067731E" w:rsidP="0067731E">
      <w:pPr>
        <w:autoSpaceDE w:val="0"/>
        <w:autoSpaceDN w:val="0"/>
        <w:adjustRightInd w:val="0"/>
        <w:spacing w:after="0" w:line="240" w:lineRule="auto"/>
        <w:rPr>
          <w:rFonts w:ascii="Times New Roman" w:hAnsi="Times New Roman" w:cs="Times New Roman"/>
          <w:sz w:val="24"/>
          <w:szCs w:val="24"/>
        </w:rPr>
      </w:pPr>
    </w:p>
    <w:p w14:paraId="6B4DE792" w14:textId="77777777" w:rsidR="0067731E" w:rsidRDefault="0067731E" w:rsidP="0067731E">
      <w:pPr>
        <w:autoSpaceDE w:val="0"/>
        <w:autoSpaceDN w:val="0"/>
        <w:adjustRightInd w:val="0"/>
        <w:spacing w:after="0" w:line="240" w:lineRule="auto"/>
        <w:rPr>
          <w:rFonts w:ascii="Times New Roman" w:hAnsi="Times New Roman" w:cs="Times New Roman"/>
          <w:sz w:val="24"/>
          <w:szCs w:val="24"/>
          <w:vertAlign w:val="superscript"/>
        </w:rPr>
      </w:pPr>
      <w:r w:rsidRPr="00A07923">
        <w:rPr>
          <w:rFonts w:ascii="Times New Roman" w:hAnsi="Times New Roman" w:cs="Times New Roman"/>
          <w:sz w:val="24"/>
          <w:szCs w:val="24"/>
        </w:rPr>
        <w:t>Jane E Doe</w:t>
      </w:r>
      <w:r w:rsidRPr="00A07923">
        <w:rPr>
          <w:rFonts w:ascii="Times New Roman" w:hAnsi="Times New Roman" w:cs="Times New Roman"/>
          <w:sz w:val="24"/>
          <w:szCs w:val="24"/>
          <w:vertAlign w:val="superscript"/>
        </w:rPr>
        <w:t>1</w:t>
      </w:r>
      <w:r w:rsidRPr="00A07923">
        <w:rPr>
          <w:rFonts w:ascii="Times New Roman" w:hAnsi="Times New Roman" w:cs="Times New Roman"/>
          <w:sz w:val="24"/>
          <w:szCs w:val="24"/>
        </w:rPr>
        <w:t xml:space="preserve"> and John RS Smith</w:t>
      </w:r>
      <w:r w:rsidRPr="00A0792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w:t>
      </w:r>
    </w:p>
    <w:p w14:paraId="26B9C101" w14:textId="77777777" w:rsidR="0067731E" w:rsidRPr="00A07923" w:rsidRDefault="0067731E" w:rsidP="0067731E">
      <w:pPr>
        <w:autoSpaceDE w:val="0"/>
        <w:autoSpaceDN w:val="0"/>
        <w:adjustRightInd w:val="0"/>
        <w:spacing w:after="0" w:line="240" w:lineRule="auto"/>
        <w:rPr>
          <w:rFonts w:ascii="Times New Roman" w:hAnsi="Times New Roman" w:cs="Times New Roman"/>
          <w:sz w:val="24"/>
          <w:szCs w:val="24"/>
          <w:vertAlign w:val="superscript"/>
        </w:rPr>
      </w:pPr>
    </w:p>
    <w:p w14:paraId="3F2E0BAB" w14:textId="77777777" w:rsidR="0067731E" w:rsidRDefault="0067731E" w:rsidP="0067731E">
      <w:pPr>
        <w:autoSpaceDE w:val="0"/>
        <w:autoSpaceDN w:val="0"/>
        <w:adjustRightInd w:val="0"/>
        <w:spacing w:after="0" w:line="240" w:lineRule="auto"/>
        <w:rPr>
          <w:rFonts w:ascii="Times New Roman" w:hAnsi="Times New Roman" w:cs="Times New Roman"/>
          <w:sz w:val="24"/>
          <w:szCs w:val="24"/>
        </w:rPr>
      </w:pPr>
      <w:r w:rsidRPr="00A07923">
        <w:rPr>
          <w:rFonts w:ascii="Times New Roman" w:hAnsi="Times New Roman" w:cs="Times New Roman"/>
          <w:sz w:val="24"/>
          <w:szCs w:val="24"/>
          <w:vertAlign w:val="superscript"/>
        </w:rPr>
        <w:t>1</w:t>
      </w:r>
      <w:r w:rsidRPr="00A07923">
        <w:rPr>
          <w:rFonts w:ascii="Times New Roman" w:hAnsi="Times New Roman" w:cs="Times New Roman"/>
          <w:sz w:val="24"/>
          <w:szCs w:val="24"/>
        </w:rPr>
        <w:t xml:space="preserve">Department of Zoology, </w:t>
      </w:r>
      <w:r>
        <w:rPr>
          <w:rFonts w:ascii="Times New Roman" w:hAnsi="Times New Roman" w:cs="Times New Roman"/>
          <w:sz w:val="24"/>
          <w:szCs w:val="24"/>
        </w:rPr>
        <w:t xml:space="preserve">Mickey Mouse University, </w:t>
      </w:r>
      <w:proofErr w:type="spellStart"/>
      <w:r>
        <w:rPr>
          <w:rFonts w:ascii="Times New Roman" w:hAnsi="Times New Roman" w:cs="Times New Roman"/>
          <w:sz w:val="24"/>
          <w:szCs w:val="24"/>
        </w:rPr>
        <w:t>Orlanda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w:t>
      </w:r>
      <w:proofErr w:type="spellEnd"/>
      <w:r>
        <w:rPr>
          <w:rFonts w:ascii="Times New Roman" w:hAnsi="Times New Roman" w:cs="Times New Roman"/>
          <w:sz w:val="24"/>
          <w:szCs w:val="24"/>
        </w:rPr>
        <w:t xml:space="preserve">, </w:t>
      </w:r>
      <w:r w:rsidRPr="00A07923">
        <w:rPr>
          <w:rFonts w:ascii="Times New Roman" w:hAnsi="Times New Roman" w:cs="Times New Roman"/>
          <w:sz w:val="24"/>
          <w:szCs w:val="24"/>
          <w:vertAlign w:val="superscript"/>
        </w:rPr>
        <w:t>2</w:t>
      </w:r>
      <w:r w:rsidRPr="00A07923">
        <w:rPr>
          <w:rFonts w:ascii="Times New Roman" w:hAnsi="Times New Roman" w:cs="Times New Roman"/>
          <w:sz w:val="24"/>
          <w:szCs w:val="24"/>
        </w:rPr>
        <w:t>Marine Ecology Department,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DegreesRUs</w:t>
      </w:r>
      <w:proofErr w:type="spellEnd"/>
      <w:r>
        <w:rPr>
          <w:rFonts w:ascii="Times New Roman" w:hAnsi="Times New Roman" w:cs="Times New Roman"/>
          <w:sz w:val="24"/>
          <w:szCs w:val="24"/>
        </w:rPr>
        <w:t>, New York, NY</w:t>
      </w:r>
    </w:p>
    <w:p w14:paraId="648283D3" w14:textId="77777777" w:rsidR="0067731E" w:rsidRPr="00A07923" w:rsidRDefault="0067731E" w:rsidP="0067731E">
      <w:pPr>
        <w:autoSpaceDE w:val="0"/>
        <w:autoSpaceDN w:val="0"/>
        <w:adjustRightInd w:val="0"/>
        <w:spacing w:after="0" w:line="240" w:lineRule="auto"/>
        <w:rPr>
          <w:rFonts w:ascii="Times New Roman" w:hAnsi="Times New Roman" w:cs="Times New Roman"/>
          <w:sz w:val="24"/>
          <w:szCs w:val="24"/>
        </w:rPr>
      </w:pPr>
      <w:r w:rsidRPr="00A07923">
        <w:rPr>
          <w:rFonts w:ascii="Times New Roman" w:hAnsi="Times New Roman" w:cs="Times New Roman"/>
          <w:sz w:val="24"/>
          <w:szCs w:val="24"/>
        </w:rPr>
        <w:t xml:space="preserve"> </w:t>
      </w:r>
    </w:p>
    <w:p w14:paraId="7E081449" w14:textId="77777777" w:rsidR="0067731E" w:rsidRPr="00A07923" w:rsidRDefault="0067731E" w:rsidP="006773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*Corresponding author: Tel: 555 555 5555, E-mail: John.RS.Smith@degreesRUs.edu</w:t>
      </w:r>
    </w:p>
    <w:p w14:paraId="16FF1E2C" w14:textId="77777777" w:rsidR="0067731E" w:rsidRPr="00A07923" w:rsidRDefault="0067731E" w:rsidP="0067731E">
      <w:pPr>
        <w:autoSpaceDE w:val="0"/>
        <w:autoSpaceDN w:val="0"/>
        <w:adjustRightInd w:val="0"/>
        <w:spacing w:after="0" w:line="240" w:lineRule="auto"/>
        <w:rPr>
          <w:rFonts w:ascii="Times New Roman" w:hAnsi="Times New Roman" w:cs="Times New Roman"/>
          <w:sz w:val="24"/>
          <w:szCs w:val="24"/>
        </w:rPr>
      </w:pPr>
    </w:p>
    <w:p w14:paraId="543535F4" w14:textId="77777777" w:rsidR="0067731E" w:rsidRDefault="0067731E" w:rsidP="0067731E">
      <w:pPr>
        <w:autoSpaceDE w:val="0"/>
        <w:autoSpaceDN w:val="0"/>
        <w:adjustRightInd w:val="0"/>
        <w:spacing w:after="0" w:line="240" w:lineRule="auto"/>
        <w:rPr>
          <w:rFonts w:ascii="Times New Roman" w:hAnsi="Times New Roman" w:cs="Times New Roman"/>
          <w:b/>
          <w:sz w:val="28"/>
          <w:szCs w:val="28"/>
        </w:rPr>
      </w:pPr>
    </w:p>
    <w:p w14:paraId="1863C5C8" w14:textId="77777777" w:rsidR="0067731E" w:rsidRDefault="0067731E" w:rsidP="0067731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Abstract</w:t>
      </w:r>
    </w:p>
    <w:p w14:paraId="46A751F6" w14:textId="77777777" w:rsidR="0067731E" w:rsidRDefault="0067731E" w:rsidP="006773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 for this section</w:t>
      </w:r>
    </w:p>
    <w:p w14:paraId="1C002F13" w14:textId="77777777" w:rsidR="0067731E" w:rsidRDefault="0067731E" w:rsidP="0067731E">
      <w:pPr>
        <w:autoSpaceDE w:val="0"/>
        <w:autoSpaceDN w:val="0"/>
        <w:adjustRightInd w:val="0"/>
        <w:spacing w:after="0" w:line="240" w:lineRule="auto"/>
        <w:rPr>
          <w:rFonts w:ascii="Times New Roman" w:hAnsi="Times New Roman" w:cs="Times New Roman"/>
          <w:b/>
          <w:sz w:val="28"/>
          <w:szCs w:val="28"/>
        </w:rPr>
      </w:pPr>
    </w:p>
    <w:p w14:paraId="6F1915A1" w14:textId="77777777" w:rsidR="0067731E" w:rsidRDefault="0067731E" w:rsidP="0067731E">
      <w:pPr>
        <w:autoSpaceDE w:val="0"/>
        <w:autoSpaceDN w:val="0"/>
        <w:adjustRightInd w:val="0"/>
        <w:spacing w:after="0" w:line="240" w:lineRule="auto"/>
        <w:rPr>
          <w:rFonts w:ascii="Times New Roman" w:hAnsi="Times New Roman" w:cs="Times New Roman"/>
          <w:b/>
          <w:sz w:val="28"/>
          <w:szCs w:val="28"/>
        </w:rPr>
      </w:pPr>
    </w:p>
    <w:p w14:paraId="305FC60A" w14:textId="77777777" w:rsidR="0067731E" w:rsidRPr="00A07923" w:rsidRDefault="0067731E" w:rsidP="0067731E">
      <w:pPr>
        <w:autoSpaceDE w:val="0"/>
        <w:autoSpaceDN w:val="0"/>
        <w:adjustRightInd w:val="0"/>
        <w:spacing w:after="0" w:line="240" w:lineRule="auto"/>
        <w:rPr>
          <w:rFonts w:ascii="Times New Roman" w:hAnsi="Times New Roman" w:cs="Times New Roman"/>
          <w:b/>
          <w:sz w:val="28"/>
          <w:szCs w:val="28"/>
        </w:rPr>
      </w:pPr>
      <w:r w:rsidRPr="00A07923">
        <w:rPr>
          <w:rFonts w:ascii="Times New Roman" w:hAnsi="Times New Roman" w:cs="Times New Roman"/>
          <w:b/>
          <w:sz w:val="28"/>
          <w:szCs w:val="28"/>
        </w:rPr>
        <w:t>Introduction</w:t>
      </w:r>
      <w:r w:rsidRPr="00DD1235">
        <w:rPr>
          <w:rFonts w:ascii="Times New Roman" w:hAnsi="Times New Roman" w:cs="Times New Roman"/>
          <w:b/>
          <w:sz w:val="28"/>
          <w:szCs w:val="28"/>
          <w:vertAlign w:val="superscript"/>
        </w:rPr>
        <w:t>†</w:t>
      </w:r>
    </w:p>
    <w:p w14:paraId="653D2D8B" w14:textId="19D7D734" w:rsidR="0067731E" w:rsidRDefault="0067731E" w:rsidP="006773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 for this section</w:t>
      </w:r>
    </w:p>
    <w:p w14:paraId="77092B5F" w14:textId="77777777" w:rsidR="0067731E" w:rsidRDefault="0067731E" w:rsidP="0067731E">
      <w:pPr>
        <w:autoSpaceDE w:val="0"/>
        <w:autoSpaceDN w:val="0"/>
        <w:adjustRightInd w:val="0"/>
        <w:spacing w:after="0" w:line="240" w:lineRule="auto"/>
        <w:rPr>
          <w:rFonts w:ascii="Times New Roman" w:hAnsi="Times New Roman" w:cs="Times New Roman"/>
          <w:sz w:val="24"/>
          <w:szCs w:val="24"/>
        </w:rPr>
      </w:pPr>
    </w:p>
    <w:p w14:paraId="4FCCC2E1" w14:textId="77777777" w:rsidR="0067731E" w:rsidRPr="00A07923" w:rsidRDefault="0067731E" w:rsidP="0067731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Material and Methods</w:t>
      </w:r>
      <w:r w:rsidRPr="00DD1235">
        <w:rPr>
          <w:rFonts w:ascii="Times New Roman" w:hAnsi="Times New Roman" w:cs="Times New Roman"/>
          <w:b/>
          <w:sz w:val="28"/>
          <w:szCs w:val="28"/>
          <w:vertAlign w:val="superscript"/>
        </w:rPr>
        <w:t>†</w:t>
      </w:r>
    </w:p>
    <w:p w14:paraId="7D5D21AD" w14:textId="52F5EA26" w:rsidR="0067731E" w:rsidRDefault="0067731E" w:rsidP="0067731E">
      <w:pPr>
        <w:autoSpaceDE w:val="0"/>
        <w:autoSpaceDN w:val="0"/>
        <w:adjustRightInd w:val="0"/>
        <w:spacing w:after="0" w:line="240" w:lineRule="auto"/>
        <w:rPr>
          <w:rFonts w:ascii="Times New Roman" w:hAnsi="Times New Roman" w:cs="Times New Roman"/>
          <w:sz w:val="24"/>
          <w:szCs w:val="24"/>
        </w:rPr>
      </w:pPr>
      <w:r w:rsidRPr="00A07923">
        <w:rPr>
          <w:rFonts w:ascii="Times New Roman" w:hAnsi="Times New Roman" w:cs="Times New Roman"/>
          <w:sz w:val="24"/>
          <w:szCs w:val="24"/>
        </w:rPr>
        <w:t>Te</w:t>
      </w:r>
      <w:r w:rsidR="008A0A0B">
        <w:rPr>
          <w:rFonts w:ascii="Times New Roman" w:hAnsi="Times New Roman" w:cs="Times New Roman"/>
          <w:sz w:val="24"/>
          <w:szCs w:val="24"/>
        </w:rPr>
        <w:t>xt and results for this section</w:t>
      </w:r>
    </w:p>
    <w:p w14:paraId="78E1F848" w14:textId="77777777" w:rsidR="0067731E" w:rsidRDefault="0067731E" w:rsidP="0067731E">
      <w:pPr>
        <w:autoSpaceDE w:val="0"/>
        <w:autoSpaceDN w:val="0"/>
        <w:adjustRightInd w:val="0"/>
        <w:spacing w:after="0" w:line="240" w:lineRule="auto"/>
        <w:rPr>
          <w:rFonts w:ascii="Times New Roman" w:hAnsi="Times New Roman" w:cs="Times New Roman"/>
          <w:sz w:val="24"/>
          <w:szCs w:val="24"/>
        </w:rPr>
      </w:pPr>
    </w:p>
    <w:p w14:paraId="0FFEEDE7" w14:textId="77777777" w:rsidR="0067731E" w:rsidRDefault="0067731E" w:rsidP="0067731E">
      <w:pPr>
        <w:autoSpaceDE w:val="0"/>
        <w:autoSpaceDN w:val="0"/>
        <w:adjustRightInd w:val="0"/>
        <w:spacing w:after="0" w:line="240" w:lineRule="auto"/>
        <w:rPr>
          <w:rFonts w:ascii="Times New Roman" w:hAnsi="Times New Roman" w:cs="Times New Roman"/>
          <w:b/>
          <w:sz w:val="24"/>
          <w:szCs w:val="24"/>
        </w:rPr>
      </w:pPr>
      <w:r w:rsidRPr="00DD1235">
        <w:rPr>
          <w:rFonts w:ascii="Times New Roman" w:hAnsi="Times New Roman" w:cs="Times New Roman"/>
          <w:b/>
          <w:sz w:val="24"/>
          <w:szCs w:val="24"/>
        </w:rPr>
        <w:t>Database</w:t>
      </w:r>
    </w:p>
    <w:p w14:paraId="41F96141" w14:textId="6F4B452E" w:rsidR="0067731E" w:rsidRPr="00DD1235" w:rsidRDefault="0067731E" w:rsidP="006773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Example o</w:t>
      </w:r>
      <w:r w:rsidR="008A0A0B">
        <w:rPr>
          <w:rFonts w:ascii="Times New Roman" w:hAnsi="Times New Roman" w:cs="Times New Roman"/>
          <w:sz w:val="24"/>
          <w:szCs w:val="24"/>
        </w:rPr>
        <w:t>f sub-heading for section (1-2)</w:t>
      </w:r>
    </w:p>
    <w:p w14:paraId="1714C625" w14:textId="77777777" w:rsidR="0067731E" w:rsidRPr="00A07923" w:rsidRDefault="0067731E" w:rsidP="0067731E">
      <w:pPr>
        <w:autoSpaceDE w:val="0"/>
        <w:autoSpaceDN w:val="0"/>
        <w:adjustRightInd w:val="0"/>
        <w:spacing w:after="0" w:line="240" w:lineRule="auto"/>
        <w:rPr>
          <w:rFonts w:ascii="Times New Roman" w:hAnsi="Times New Roman" w:cs="Times New Roman"/>
          <w:sz w:val="24"/>
          <w:szCs w:val="24"/>
        </w:rPr>
      </w:pPr>
    </w:p>
    <w:p w14:paraId="13023084" w14:textId="77777777" w:rsidR="0067731E" w:rsidRPr="00A07923" w:rsidRDefault="0067731E" w:rsidP="0067731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Results and Discussion</w:t>
      </w:r>
      <w:r w:rsidRPr="00DD1235">
        <w:rPr>
          <w:rFonts w:ascii="Times New Roman" w:hAnsi="Times New Roman" w:cs="Times New Roman"/>
          <w:b/>
          <w:sz w:val="28"/>
          <w:szCs w:val="28"/>
          <w:vertAlign w:val="superscript"/>
        </w:rPr>
        <w:t>†</w:t>
      </w:r>
    </w:p>
    <w:p w14:paraId="560BFED6" w14:textId="0A0BD5F8" w:rsidR="0067731E" w:rsidRDefault="0067731E" w:rsidP="0067731E">
      <w:pPr>
        <w:autoSpaceDE w:val="0"/>
        <w:autoSpaceDN w:val="0"/>
        <w:adjustRightInd w:val="0"/>
        <w:spacing w:after="0" w:line="240" w:lineRule="auto"/>
        <w:rPr>
          <w:rFonts w:ascii="Times New Roman" w:hAnsi="Times New Roman" w:cs="Times New Roman"/>
          <w:sz w:val="24"/>
          <w:szCs w:val="24"/>
        </w:rPr>
      </w:pPr>
      <w:r w:rsidRPr="00A07923">
        <w:rPr>
          <w:rFonts w:ascii="Times New Roman" w:hAnsi="Times New Roman" w:cs="Times New Roman"/>
          <w:sz w:val="24"/>
          <w:szCs w:val="24"/>
        </w:rPr>
        <w:t>Te</w:t>
      </w:r>
      <w:r w:rsidR="008A0A0B">
        <w:rPr>
          <w:rFonts w:ascii="Times New Roman" w:hAnsi="Times New Roman" w:cs="Times New Roman"/>
          <w:sz w:val="24"/>
          <w:szCs w:val="24"/>
        </w:rPr>
        <w:t>xt for this section</w:t>
      </w:r>
    </w:p>
    <w:p w14:paraId="253C2B24" w14:textId="77777777" w:rsidR="0067731E" w:rsidRDefault="0067731E" w:rsidP="0067731E"/>
    <w:p w14:paraId="5E35E943" w14:textId="77777777" w:rsidR="0067731E" w:rsidRDefault="0067731E" w:rsidP="0067731E">
      <w:pPr>
        <w:rPr>
          <w:rFonts w:ascii="Times New Roman" w:hAnsi="Times New Roman" w:cs="Times New Roman"/>
          <w:b/>
          <w:sz w:val="28"/>
          <w:szCs w:val="28"/>
        </w:rPr>
      </w:pPr>
      <w:r>
        <w:rPr>
          <w:rFonts w:ascii="Times New Roman" w:hAnsi="Times New Roman" w:cs="Times New Roman"/>
          <w:b/>
          <w:sz w:val="28"/>
          <w:szCs w:val="28"/>
        </w:rPr>
        <w:t>References</w:t>
      </w:r>
    </w:p>
    <w:p w14:paraId="7983629B" w14:textId="3F2482C8" w:rsidR="00DD1235" w:rsidRDefault="0067731E" w:rsidP="00A07923">
      <w:r>
        <w:t xml:space="preserve">1. </w:t>
      </w:r>
      <w:proofErr w:type="spellStart"/>
      <w:r>
        <w:t>Schmitt</w:t>
      </w:r>
      <w:proofErr w:type="gramStart"/>
      <w:r>
        <w:t>,E</w:t>
      </w:r>
      <w:proofErr w:type="spellEnd"/>
      <w:proofErr w:type="gramEnd"/>
      <w:r>
        <w:t xml:space="preserve">., </w:t>
      </w:r>
      <w:proofErr w:type="spellStart"/>
      <w:r>
        <w:t>Panvert,M</w:t>
      </w:r>
      <w:proofErr w:type="spellEnd"/>
      <w:r>
        <w:t xml:space="preserve">., </w:t>
      </w:r>
      <w:proofErr w:type="spellStart"/>
      <w:r>
        <w:t>Blanquet,S</w:t>
      </w:r>
      <w:proofErr w:type="spellEnd"/>
      <w:r>
        <w:t xml:space="preserve">. and </w:t>
      </w:r>
      <w:proofErr w:type="spellStart"/>
      <w:r>
        <w:t>Mechulam,Y</w:t>
      </w:r>
      <w:proofErr w:type="spellEnd"/>
      <w:r>
        <w:t xml:space="preserve">. (1995) Transition state </w:t>
      </w:r>
      <w:proofErr w:type="spellStart"/>
      <w:r>
        <w:t>stabilisation</w:t>
      </w:r>
      <w:proofErr w:type="spellEnd"/>
      <w:r>
        <w:t xml:space="preserve"> by the 'high' motif of class I </w:t>
      </w:r>
      <w:proofErr w:type="spellStart"/>
      <w:r>
        <w:t>aminoacyl-tRNA</w:t>
      </w:r>
      <w:proofErr w:type="spellEnd"/>
      <w:r>
        <w:t xml:space="preserve"> </w:t>
      </w:r>
      <w:proofErr w:type="spellStart"/>
      <w:r>
        <w:t>synthetases</w:t>
      </w:r>
      <w:proofErr w:type="spellEnd"/>
      <w:r>
        <w:t xml:space="preserve">: the case of </w:t>
      </w:r>
      <w:r>
        <w:rPr>
          <w:rStyle w:val="Emphasis"/>
        </w:rPr>
        <w:t>Escherichia coli</w:t>
      </w:r>
      <w:r>
        <w:t xml:space="preserve"> </w:t>
      </w:r>
      <w:proofErr w:type="spellStart"/>
      <w:r>
        <w:t>methionyl-tRNA</w:t>
      </w:r>
      <w:proofErr w:type="spellEnd"/>
      <w:r>
        <w:t xml:space="preserve"> </w:t>
      </w:r>
      <w:proofErr w:type="spellStart"/>
      <w:r>
        <w:t>synthetase</w:t>
      </w:r>
      <w:proofErr w:type="spellEnd"/>
      <w:r>
        <w:t xml:space="preserve">. </w:t>
      </w:r>
      <w:r>
        <w:rPr>
          <w:rStyle w:val="Emphasis"/>
        </w:rPr>
        <w:t>Nucleic Acids Res</w:t>
      </w:r>
      <w:r>
        <w:t xml:space="preserve">., </w:t>
      </w:r>
      <w:r>
        <w:rPr>
          <w:rStyle w:val="Strong"/>
        </w:rPr>
        <w:t>23</w:t>
      </w:r>
      <w:r>
        <w:t xml:space="preserve">, 4793-4798. </w:t>
      </w:r>
      <w:r>
        <w:br/>
      </w:r>
      <w:r>
        <w:br/>
        <w:t xml:space="preserve">2. </w:t>
      </w:r>
      <w:proofErr w:type="spellStart"/>
      <w:r>
        <w:t>Huynh</w:t>
      </w:r>
      <w:proofErr w:type="gramStart"/>
      <w:r>
        <w:t>,T.V</w:t>
      </w:r>
      <w:proofErr w:type="spellEnd"/>
      <w:proofErr w:type="gramEnd"/>
      <w:r>
        <w:t xml:space="preserve">., </w:t>
      </w:r>
      <w:proofErr w:type="spellStart"/>
      <w:r>
        <w:t>Young,R.A</w:t>
      </w:r>
      <w:proofErr w:type="spellEnd"/>
      <w:r>
        <w:t xml:space="preserve">. and </w:t>
      </w:r>
      <w:proofErr w:type="spellStart"/>
      <w:r>
        <w:t>Davies,R.W</w:t>
      </w:r>
      <w:proofErr w:type="spellEnd"/>
      <w:r>
        <w:t xml:space="preserve">. (1988) Constructing and screening </w:t>
      </w:r>
      <w:proofErr w:type="spellStart"/>
      <w:r>
        <w:t>cDNA</w:t>
      </w:r>
      <w:proofErr w:type="spellEnd"/>
      <w:r>
        <w:t xml:space="preserve"> libraries in lambdagt10 and lambdagt11. In </w:t>
      </w:r>
      <w:proofErr w:type="spellStart"/>
      <w:r>
        <w:t>Glover</w:t>
      </w:r>
      <w:proofErr w:type="gramStart"/>
      <w:r>
        <w:t>,D.M</w:t>
      </w:r>
      <w:proofErr w:type="spellEnd"/>
      <w:proofErr w:type="gramEnd"/>
      <w:r>
        <w:t xml:space="preserve">. (ed.), </w:t>
      </w:r>
      <w:r>
        <w:rPr>
          <w:rStyle w:val="Emphasis"/>
        </w:rPr>
        <w:t>DNA Cloning - A Practical Approach</w:t>
      </w:r>
      <w:r>
        <w:t>. IRL Press, Oxford, Vol. I, pp. 49-78.</w:t>
      </w:r>
    </w:p>
    <w:p w14:paraId="1C045BD2" w14:textId="77777777" w:rsidR="008A0A0B" w:rsidRDefault="008A0A0B" w:rsidP="008A0A0B">
      <w:pPr>
        <w:rPr>
          <w:rFonts w:ascii="Times New Roman" w:hAnsi="Times New Roman" w:cs="Times New Roman"/>
          <w:b/>
          <w:sz w:val="28"/>
          <w:szCs w:val="28"/>
          <w:vertAlign w:val="superscript"/>
        </w:rPr>
      </w:pPr>
    </w:p>
    <w:p w14:paraId="114ADE7B" w14:textId="77777777" w:rsidR="008A0A0B" w:rsidRDefault="008A0A0B" w:rsidP="008A0A0B">
      <w:pPr>
        <w:rPr>
          <w:rFonts w:ascii="Times New Roman" w:hAnsi="Times New Roman" w:cs="Times New Roman"/>
          <w:b/>
          <w:sz w:val="28"/>
          <w:szCs w:val="28"/>
          <w:vertAlign w:val="superscript"/>
        </w:rPr>
      </w:pPr>
    </w:p>
    <w:p w14:paraId="09834B56" w14:textId="6E433824" w:rsidR="008A0A0B" w:rsidRPr="008A0A0B" w:rsidRDefault="008A0A0B" w:rsidP="00A07923">
      <w:pPr>
        <w:rPr>
          <w:sz w:val="24"/>
          <w:szCs w:val="24"/>
        </w:rPr>
      </w:pPr>
      <w:r w:rsidRPr="00DD1235">
        <w:rPr>
          <w:rFonts w:ascii="Times New Roman" w:hAnsi="Times New Roman" w:cs="Times New Roman"/>
          <w:b/>
          <w:sz w:val="28"/>
          <w:szCs w:val="28"/>
          <w:vertAlign w:val="superscript"/>
        </w:rPr>
        <w:t>†</w:t>
      </w:r>
      <w:r w:rsidRPr="00DD1235">
        <w:rPr>
          <w:sz w:val="24"/>
          <w:szCs w:val="24"/>
        </w:rPr>
        <w:t xml:space="preserve"> </w:t>
      </w:r>
      <w:r w:rsidRPr="00890C98">
        <w:rPr>
          <w:sz w:val="24"/>
          <w:szCs w:val="24"/>
        </w:rPr>
        <w:t>Section headings within the manuscript (e.g. Methods, Discussion, Future directions) are at the authors' discretion.</w:t>
      </w:r>
      <w:r>
        <w:rPr>
          <w:sz w:val="24"/>
          <w:szCs w:val="24"/>
        </w:rPr>
        <w:t xml:space="preserve"> These examples are only to provide formatting guidelines.</w:t>
      </w:r>
    </w:p>
    <w:sectPr w:rsidR="008A0A0B" w:rsidRPr="008A0A0B" w:rsidSect="001E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98"/>
    <w:rsid w:val="00165136"/>
    <w:rsid w:val="001769AC"/>
    <w:rsid w:val="001E4281"/>
    <w:rsid w:val="00277761"/>
    <w:rsid w:val="002E3E59"/>
    <w:rsid w:val="003C795D"/>
    <w:rsid w:val="004266DB"/>
    <w:rsid w:val="00430D9E"/>
    <w:rsid w:val="005F6C11"/>
    <w:rsid w:val="006379DA"/>
    <w:rsid w:val="0067731E"/>
    <w:rsid w:val="00882DF7"/>
    <w:rsid w:val="00890C98"/>
    <w:rsid w:val="008A0A0B"/>
    <w:rsid w:val="00943ECC"/>
    <w:rsid w:val="00A07923"/>
    <w:rsid w:val="00B76A58"/>
    <w:rsid w:val="00C115CB"/>
    <w:rsid w:val="00D24DB5"/>
    <w:rsid w:val="00DD1235"/>
    <w:rsid w:val="00E51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D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0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C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0C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0C98"/>
    <w:rPr>
      <w:i/>
      <w:iCs/>
    </w:rPr>
  </w:style>
  <w:style w:type="character" w:styleId="Strong">
    <w:name w:val="Strong"/>
    <w:basedOn w:val="DefaultParagraphFont"/>
    <w:uiPriority w:val="22"/>
    <w:qFormat/>
    <w:rsid w:val="00890C98"/>
    <w:rPr>
      <w:b/>
      <w:bCs/>
    </w:rPr>
  </w:style>
  <w:style w:type="character" w:styleId="Hyperlink">
    <w:name w:val="Hyperlink"/>
    <w:basedOn w:val="DefaultParagraphFont"/>
    <w:uiPriority w:val="99"/>
    <w:semiHidden/>
    <w:unhideWhenUsed/>
    <w:rsid w:val="00890C98"/>
    <w:rPr>
      <w:color w:val="0000FF"/>
      <w:u w:val="single"/>
    </w:rPr>
  </w:style>
  <w:style w:type="paragraph" w:styleId="ListParagraph">
    <w:name w:val="List Paragraph"/>
    <w:basedOn w:val="Normal"/>
    <w:uiPriority w:val="34"/>
    <w:qFormat/>
    <w:rsid w:val="008A0A0B"/>
    <w:pPr>
      <w:ind w:left="720"/>
      <w:contextualSpacing/>
    </w:pPr>
  </w:style>
  <w:style w:type="paragraph" w:styleId="BalloonText">
    <w:name w:val="Balloon Text"/>
    <w:basedOn w:val="Normal"/>
    <w:link w:val="BalloonTextChar"/>
    <w:uiPriority w:val="99"/>
    <w:semiHidden/>
    <w:unhideWhenUsed/>
    <w:rsid w:val="0027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7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0C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C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90C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0C98"/>
    <w:rPr>
      <w:i/>
      <w:iCs/>
    </w:rPr>
  </w:style>
  <w:style w:type="character" w:styleId="Strong">
    <w:name w:val="Strong"/>
    <w:basedOn w:val="DefaultParagraphFont"/>
    <w:uiPriority w:val="22"/>
    <w:qFormat/>
    <w:rsid w:val="00890C98"/>
    <w:rPr>
      <w:b/>
      <w:bCs/>
    </w:rPr>
  </w:style>
  <w:style w:type="character" w:styleId="Hyperlink">
    <w:name w:val="Hyperlink"/>
    <w:basedOn w:val="DefaultParagraphFont"/>
    <w:uiPriority w:val="99"/>
    <w:semiHidden/>
    <w:unhideWhenUsed/>
    <w:rsid w:val="00890C98"/>
    <w:rPr>
      <w:color w:val="0000FF"/>
      <w:u w:val="single"/>
    </w:rPr>
  </w:style>
  <w:style w:type="paragraph" w:styleId="ListParagraph">
    <w:name w:val="List Paragraph"/>
    <w:basedOn w:val="Normal"/>
    <w:uiPriority w:val="34"/>
    <w:qFormat/>
    <w:rsid w:val="008A0A0B"/>
    <w:pPr>
      <w:ind w:left="720"/>
      <w:contextualSpacing/>
    </w:pPr>
  </w:style>
  <w:style w:type="paragraph" w:styleId="BalloonText">
    <w:name w:val="Balloon Text"/>
    <w:basedOn w:val="Normal"/>
    <w:link w:val="BalloonTextChar"/>
    <w:uiPriority w:val="99"/>
    <w:semiHidden/>
    <w:unhideWhenUsed/>
    <w:rsid w:val="0027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11553">
      <w:bodyDiv w:val="1"/>
      <w:marLeft w:val="0"/>
      <w:marRight w:val="0"/>
      <w:marTop w:val="0"/>
      <w:marBottom w:val="0"/>
      <w:divBdr>
        <w:top w:val="none" w:sz="0" w:space="0" w:color="auto"/>
        <w:left w:val="none" w:sz="0" w:space="0" w:color="auto"/>
        <w:bottom w:val="none" w:sz="0" w:space="0" w:color="auto"/>
        <w:right w:val="none" w:sz="0" w:space="0" w:color="auto"/>
      </w:divBdr>
    </w:div>
    <w:div w:id="14625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in.ac.uk/files/List-of-major-UK-research-funder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6679-05D6-1540-9B75-5B42BF8A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6716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Arighi</dc:creator>
  <cp:lastModifiedBy>Catalina Tudor</cp:lastModifiedBy>
  <cp:revision>2</cp:revision>
  <dcterms:created xsi:type="dcterms:W3CDTF">2013-07-31T14:45:00Z</dcterms:created>
  <dcterms:modified xsi:type="dcterms:W3CDTF">2013-07-31T14:45:00Z</dcterms:modified>
</cp:coreProperties>
</file>